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B4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章  电路及其应用</w:t>
      </w:r>
    </w:p>
    <w:p w14:paraId="587E9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电阻定律 电阻率</w:t>
      </w:r>
    </w:p>
    <w:p w14:paraId="25A1A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1.电阻定律</w:t>
      </w:r>
    </w:p>
    <w:p w14:paraId="41916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（1）探究导体的电阻跟它的长度及横截面积之间的定量关系</w:t>
      </w:r>
    </w:p>
    <w:p w14:paraId="72915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方法：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采用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控制变量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法进行实验探究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70C63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（2）内容：导体的电阻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跟它的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长度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成正比，与它的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横截面积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成反比。</w:t>
      </w:r>
    </w:p>
    <w:p w14:paraId="21ED6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（3）公式：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2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C0F8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2.电阻率</w:t>
      </w:r>
    </w:p>
    <w:p w14:paraId="5C035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（1）对于同一种材料而言，电阻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1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的比值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baseline"/>
          <w:lang w:val="en-US" w:eastAsia="zh-CN"/>
        </w:rPr>
        <w:t>是一个常量，它与导体的长度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baseline"/>
          <w:lang w:val="en-US" w:eastAsia="zh-CN"/>
        </w:rPr>
        <w:t>、横截面积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baseline"/>
          <w:lang w:val="en-US" w:eastAsia="zh-CN"/>
        </w:rPr>
        <w:t>等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无关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baseline"/>
          <w:lang w:val="en-US" w:eastAsia="zh-CN"/>
        </w:rPr>
        <w:t>。物理学中，将这一比值称为该种导电材料的电阻率。</w:t>
      </w:r>
    </w:p>
    <w:p w14:paraId="50496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baseline"/>
          <w:lang w:val="en-US" w:eastAsia="zh-CN"/>
        </w:rPr>
        <w:t>（2）公式：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7" o:spt="75" type="#_x0000_t75" style="height:31pt;width:2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BF59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（3）电阻率是表征材料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导电性质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的物理量，其国际单位制单位是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欧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21"/>
          <w:szCs w:val="21"/>
          <w:u w:val="single"/>
          <w:lang w:val="en-US" w:eastAsia="zh-CN"/>
        </w:rPr>
        <w:t>∙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Ω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21"/>
          <w:szCs w:val="21"/>
          <w:u w:val="single"/>
          <w:lang w:val="en-US" w:eastAsia="zh-CN"/>
        </w:rPr>
        <w:t>∙m</w:t>
      </w: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57AE91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left"/>
        <w:textAlignment w:val="auto"/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电阻率往往随温度的变化而变化，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一般情况下，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金属的电阻率随温度的升高而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增大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 （填“增大”或“减小”）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7812B4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（5）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超导现象：一些金属在温度特别低时电阻降为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零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的现象。</w:t>
      </w:r>
    </w:p>
    <w:p w14:paraId="711BB08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left"/>
        <w:textAlignment w:val="auto"/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3.限流电路和分压电路</w:t>
      </w:r>
    </w:p>
    <w:p w14:paraId="6017850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left"/>
        <w:textAlignment w:val="auto"/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4229735</wp:posOffset>
            </wp:positionH>
            <wp:positionV relativeFrom="paragraph">
              <wp:posOffset>100965</wp:posOffset>
            </wp:positionV>
            <wp:extent cx="1144270" cy="744855"/>
            <wp:effectExtent l="0" t="0" r="17780" b="17145"/>
            <wp:wrapSquare wrapText="bothSides"/>
            <wp:docPr id="104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8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4270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（1）限流电路：滑动变阻器  串联  在电路中。</w:t>
      </w:r>
    </w:p>
    <w:p w14:paraId="0CEC4A0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left"/>
        <w:textAlignment w:val="auto"/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（2）分压电路：滑动变阻器的三个接线柱分别连在不同的位置，它的电阻丝</w:t>
      </w:r>
      <w:r>
        <w:rPr>
          <w:rFonts w:hint="eastAsia" w:ascii="Times New Roman" w:hAnsi="Times New Roman" w:eastAsia="宋体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vertAlign w:val="subscript"/>
          <w:lang w:val="en-US" w:eastAsia="zh-CN" w:bidi="ar"/>
        </w:rPr>
        <w:t>0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vertAlign w:val="baseline"/>
          <w:lang w:val="en-US" w:eastAsia="zh-CN" w:bidi="ar"/>
        </w:rPr>
        <w:t>以滑片</w:t>
      </w:r>
      <w:r>
        <w:rPr>
          <w:rFonts w:hint="eastAsia" w:ascii="Times New Roman" w:hAnsi="Times New Roman" w:eastAsia="宋体" w:cs="Times New Roman"/>
          <w:i/>
          <w:iCs/>
          <w:color w:val="231815"/>
          <w:kern w:val="0"/>
          <w:sz w:val="21"/>
          <w:szCs w:val="21"/>
          <w:vertAlign w:val="baseline"/>
          <w:lang w:val="en-US" w:eastAsia="zh-CN" w:bidi="ar"/>
        </w:rPr>
        <w:t>P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vertAlign w:val="baseline"/>
          <w:lang w:val="en-US" w:eastAsia="zh-CN" w:bidi="ar"/>
        </w:rPr>
        <w:t>为界分成</w:t>
      </w:r>
      <w:r>
        <w:rPr>
          <w:rFonts w:hint="eastAsia" w:ascii="Times New Roman" w:hAnsi="Times New Roman" w:eastAsia="宋体" w:cs="Times New Roman"/>
          <w:i/>
          <w:iCs/>
          <w:color w:val="231815"/>
          <w:kern w:val="0"/>
          <w:sz w:val="21"/>
          <w:szCs w:val="21"/>
          <w:vertAlign w:val="baseline"/>
          <w:lang w:val="en-US" w:eastAsia="zh-CN" w:bidi="ar"/>
        </w:rPr>
        <w:t>aP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vertAlign w:val="baseline"/>
          <w:lang w:val="en-US" w:eastAsia="zh-CN" w:bidi="ar"/>
        </w:rPr>
        <w:t>和</w:t>
      </w:r>
      <w:r>
        <w:rPr>
          <w:rFonts w:hint="eastAsia" w:ascii="Times New Roman" w:hAnsi="Times New Roman" w:eastAsia="宋体" w:cs="Times New Roman"/>
          <w:i/>
          <w:iCs/>
          <w:color w:val="231815"/>
          <w:kern w:val="0"/>
          <w:sz w:val="21"/>
          <w:szCs w:val="21"/>
          <w:vertAlign w:val="baseline"/>
          <w:lang w:val="en-US" w:eastAsia="zh-CN" w:bidi="ar"/>
        </w:rPr>
        <w:t>Pb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vertAlign w:val="baseline"/>
          <w:lang w:val="en-US" w:eastAsia="zh-CN" w:bidi="ar"/>
        </w:rPr>
        <w:t>两部分，其中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kern w:val="0"/>
          <w:sz w:val="21"/>
          <w:szCs w:val="21"/>
          <w:u w:val="single"/>
          <w:vertAlign w:val="baseline"/>
          <w:lang w:val="en-US" w:eastAsia="zh-CN" w:bidi="ar"/>
        </w:rPr>
        <w:t>Pb</w:t>
      </w:r>
      <w:r>
        <w:rPr>
          <w:rFonts w:hint="eastAsia" w:ascii="Times New Roman" w:hAnsi="Times New Roman" w:eastAsia="宋体" w:cs="Times New Roman"/>
          <w:i/>
          <w:iCs/>
          <w:color w:val="231815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vertAlign w:val="baseline"/>
          <w:lang w:val="en-US" w:eastAsia="zh-CN" w:bidi="ar"/>
        </w:rPr>
        <w:t>是串联在干路中的，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FF0000"/>
          <w:kern w:val="0"/>
          <w:sz w:val="21"/>
          <w:szCs w:val="21"/>
          <w:u w:val="single"/>
          <w:vertAlign w:val="baseline"/>
          <w:lang w:val="en-US" w:eastAsia="zh-CN" w:bidi="ar"/>
        </w:rPr>
        <w:t>aP</w:t>
      </w:r>
      <w:r>
        <w:rPr>
          <w:rFonts w:hint="eastAsia" w:ascii="Times New Roman" w:hAnsi="Times New Roman" w:eastAsia="宋体" w:cs="Times New Roman"/>
          <w:i/>
          <w:iCs/>
          <w:color w:val="231815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olor w:val="231815"/>
          <w:kern w:val="0"/>
          <w:sz w:val="21"/>
          <w:szCs w:val="21"/>
          <w:u w:val="none"/>
          <w:vertAlign w:val="baseline"/>
          <w:lang w:val="en-US" w:eastAsia="zh-CN" w:bidi="ar"/>
        </w:rPr>
        <w:t>（填“</w:t>
      </w:r>
      <w:r>
        <w:rPr>
          <w:rFonts w:hint="eastAsia" w:ascii="Times New Roman" w:hAnsi="Times New Roman" w:eastAsia="宋体" w:cs="Times New Roman"/>
          <w:i/>
          <w:iCs/>
          <w:color w:val="auto"/>
          <w:kern w:val="0"/>
          <w:sz w:val="21"/>
          <w:szCs w:val="21"/>
          <w:u w:val="none"/>
          <w:vertAlign w:val="baseline"/>
          <w:lang w:val="en-US" w:eastAsia="zh-CN" w:bidi="ar"/>
        </w:rPr>
        <w:t>aP</w:t>
      </w:r>
      <w:r>
        <w:rPr>
          <w:rFonts w:hint="eastAsia" w:ascii="Times New Roman" w:hAnsi="Times New Roman" w:eastAsia="宋体" w:cs="Times New Roman"/>
          <w:i w:val="0"/>
          <w:iCs w:val="0"/>
          <w:color w:val="231815"/>
          <w:kern w:val="0"/>
          <w:sz w:val="21"/>
          <w:szCs w:val="21"/>
          <w:u w:val="none"/>
          <w:vertAlign w:val="baseline"/>
          <w:lang w:val="en-US" w:eastAsia="zh-CN" w:bidi="ar"/>
        </w:rPr>
        <w:t>”或“</w:t>
      </w:r>
      <w:r>
        <w:rPr>
          <w:rFonts w:hint="eastAsia" w:ascii="Times New Roman" w:hAnsi="Times New Roman" w:eastAsia="宋体" w:cs="Times New Roman"/>
          <w:i/>
          <w:iCs/>
          <w:color w:val="auto"/>
          <w:kern w:val="0"/>
          <w:sz w:val="21"/>
          <w:szCs w:val="21"/>
          <w:u w:val="none"/>
          <w:vertAlign w:val="baseline"/>
          <w:lang w:val="en-US" w:eastAsia="zh-CN" w:bidi="ar"/>
        </w:rPr>
        <w:t>Pb</w:t>
      </w:r>
      <w:r>
        <w:rPr>
          <w:rFonts w:hint="eastAsia" w:ascii="Times New Roman" w:hAnsi="Times New Roman" w:eastAsia="宋体" w:cs="Times New Roman"/>
          <w:i w:val="0"/>
          <w:iCs w:val="0"/>
          <w:color w:val="231815"/>
          <w:kern w:val="0"/>
          <w:sz w:val="21"/>
          <w:szCs w:val="21"/>
          <w:u w:val="none"/>
          <w:vertAlign w:val="baseline"/>
          <w:lang w:val="en-US" w:eastAsia="zh-CN" w:bidi="ar"/>
        </w:rPr>
        <w:t>”）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vertAlign w:val="baseline"/>
          <w:lang w:val="en-US" w:eastAsia="zh-CN" w:bidi="ar"/>
        </w:rPr>
        <w:t>是一个并联的支路，如图所示。</w:t>
      </w:r>
    </w:p>
    <w:p w14:paraId="0FFF3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8F30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</w:p>
    <w:p w14:paraId="7F6B0A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.导体的电阻由导体本身性质决定，跟导体两端的电压及流过导体的电流的大小无关（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51A3F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.由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000000" w:themeColor="text1"/>
            <w:sz w:val="21"/>
            <w:szCs w:val="21"/>
            <w:u w:val="none"/>
            <w:lang w:val="en-US"/>
            <w14:textFill>
              <w14:solidFill>
                <w14:schemeClr w14:val="tx1"/>
              </w14:solidFill>
            </w14:textFill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知，材料相同的两段导体，长度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越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大的导体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，其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越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90BE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.把一根长导线截成等长的三段，则每段的电阻率都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变为原来的三分之一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46E3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.电阻率是反映材料导电性能好坏的物理量，电阻率越大的导体导电性能越差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9D42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E429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7565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4109085</wp:posOffset>
            </wp:positionH>
            <wp:positionV relativeFrom="paragraph">
              <wp:posOffset>73660</wp:posOffset>
            </wp:positionV>
            <wp:extent cx="1198245" cy="535305"/>
            <wp:effectExtent l="0" t="0" r="1905" b="17145"/>
            <wp:wrapSquare wrapText="bothSides"/>
            <wp:docPr id="75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9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如图所示,在一长方体导体中分别沿图所示的方向通入电流,各物理量已在图中标出,该导体由电阻率为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的材料制成。试计算导体中的电流分别为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时该导体的电阻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__</w:t>
      </w:r>
      <m:oMath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u w:val="none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  <m:t>bc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__ 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__</w:t>
      </w:r>
      <m:oMath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hAnsi="Cambria Math" w:cs="Times New Roman"/>
          <w:b w:val="0"/>
          <w:bCs w:val="0"/>
          <w:i w:val="0"/>
          <w:iCs/>
          <w:color w:val="auto"/>
          <w:kern w:val="2"/>
          <w:sz w:val="21"/>
          <w:szCs w:val="21"/>
          <w:lang w:val="en-US" w:eastAsia="zh-CN" w:bidi="ar-SA"/>
        </w:rPr>
        <w:t>__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69ACE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default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1.</w:t>
      </w:r>
      <m:oMath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bc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nor/>
          </m:rPr>
          <w:rPr>
            <w:rFonts w:hint="default" w:ascii="Cambria Math" w:hAnsi="Cambria Math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 xml:space="preserve">    </m:t>
        </m:r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bookmarkStart w:id="0" w:name="_GoBack"/>
      <w:bookmarkEnd w:id="0"/>
    </w:p>
    <w:p w14:paraId="7FE2A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</w:pP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【解析】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a、b、c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分别为导体的三条棱长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由电阻的决定式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FF0000"/>
            <w:sz w:val="21"/>
            <w:szCs w:val="21"/>
            <w:lang w:val="en-US" w:eastAsia="zh-CN"/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FF0000"/>
            <w:sz w:val="21"/>
            <w:szCs w:val="21"/>
            <w:u w:val="none"/>
            <w:lang w:val="en-US"/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 w:eastAsia="zh-CN"/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FF0000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可得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若通入电流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 xml:space="preserve">则导体的电阻为 </w:t>
      </w:r>
      <m:oMath>
        <m:sSub>
          <m:sSubP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  <m:t>R</m:t>
            </m: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1"/>
                <w:szCs w:val="21"/>
                <w:lang w:val="en-US" w:eastAsia="zh-CN"/>
              </w:rPr>
              <m:t>1</m:t>
            </m: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bc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  <w:t>；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若通入电流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 xml:space="preserve">，则导体的电阻为 </w:t>
      </w:r>
      <m:oMath>
        <m:sSub>
          <m:sSubP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  <m:t>R</m:t>
            </m: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Times New Roman" w:hAnsi="Times New Roman" w:cs="Times New Roman"/>
                <w:b w:val="0"/>
                <w:bCs w:val="0"/>
                <w:i/>
                <w:color w:val="FF0000"/>
                <w:sz w:val="21"/>
                <w:szCs w:val="21"/>
                <w:lang w:val="en-US" w:eastAsia="zh-CN"/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 w:val="0"/>
            <w:bCs w:val="0"/>
            <w:i/>
            <w:iCs/>
            <w:color w:val="FF0000"/>
            <w:kern w:val="2"/>
            <w:sz w:val="21"/>
            <w:szCs w:val="21"/>
            <w:lang w:val="en-US" w:eastAsia="zh-CN" w:bidi="ar-SA"/>
          </w:rPr>
          <m:t>ρ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c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  <m:t>ab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FF000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8800FE5"/>
    <w:rsid w:val="0D5663F1"/>
    <w:rsid w:val="0D865185"/>
    <w:rsid w:val="0DB4420C"/>
    <w:rsid w:val="0ED61D65"/>
    <w:rsid w:val="1428639F"/>
    <w:rsid w:val="1A240C73"/>
    <w:rsid w:val="1ADF35A4"/>
    <w:rsid w:val="1CD81161"/>
    <w:rsid w:val="1F192994"/>
    <w:rsid w:val="2074194C"/>
    <w:rsid w:val="21733A6D"/>
    <w:rsid w:val="22226B0E"/>
    <w:rsid w:val="256B4972"/>
    <w:rsid w:val="30E57BC8"/>
    <w:rsid w:val="31837ABD"/>
    <w:rsid w:val="33A44248"/>
    <w:rsid w:val="37BB437D"/>
    <w:rsid w:val="3A091644"/>
    <w:rsid w:val="3A956CA9"/>
    <w:rsid w:val="3C042703"/>
    <w:rsid w:val="3CB52527"/>
    <w:rsid w:val="3ED734A6"/>
    <w:rsid w:val="42B74272"/>
    <w:rsid w:val="437370B7"/>
    <w:rsid w:val="459E23E7"/>
    <w:rsid w:val="48D32A07"/>
    <w:rsid w:val="4CB229E2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732</Words>
  <Characters>798</Characters>
  <Lines>0</Lines>
  <Paragraphs>0</Paragraphs>
  <TotalTime>7</TotalTime>
  <ScaleCrop>false</ScaleCrop>
  <LinksUpToDate>false</LinksUpToDate>
  <CharactersWithSpaces>925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FAB72BA492EC4E1F87382863F034830B_13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